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Arial" w:hAnsi="Arial" w:cs="Arial"/>
          <w:b/>
          <w:b/>
          <w:i/>
          <w:i/>
        </w:rPr>
      </w:pPr>
      <w:r>
        <w:rPr>
          <w:rFonts w:cs="Arial" w:ascii="Arial" w:hAnsi="Arial"/>
          <w:b/>
        </w:rPr>
        <w:t xml:space="preserve">6210 Heringsmöwe </w:t>
      </w:r>
      <w:r>
        <w:rPr>
          <w:rFonts w:cs="Arial" w:ascii="Arial" w:hAnsi="Arial"/>
          <w:b/>
          <w:i/>
        </w:rPr>
        <w:t>Larus fuscus</w:t>
        <w:tab/>
        <w:tab/>
        <w:t>Bericht 2011-2016</w:t>
      </w:r>
    </w:p>
    <w:p>
      <w:pPr>
        <w:pStyle w:val="Normal"/>
        <w:rPr>
          <w:rFonts w:ascii="Arial" w:hAnsi="Arial" w:cs="Arial"/>
          <w:b/>
          <w:b/>
          <w:i/>
          <w:i/>
        </w:rPr>
      </w:pPr>
      <w:r>
        <w:rPr>
          <w:rFonts w:cs="Arial" w:ascii="Arial" w:hAnsi="Arial"/>
          <w:b/>
          <w:i/>
        </w:rPr>
      </w:r>
    </w:p>
    <w:p>
      <w:pPr>
        <w:pStyle w:val="Normal"/>
        <w:rPr>
          <w:rFonts w:ascii="Arial" w:hAnsi="Arial" w:cs="Arial"/>
        </w:rPr>
      </w:pPr>
      <w:r>
        <w:rPr/>
        <w:drawing>
          <wp:inline distT="0" distB="0" distL="0" distR="0">
            <wp:extent cx="4462145" cy="4210685"/>
            <wp:effectExtent l="0" t="0" r="0" b="0"/>
            <wp:docPr id="1"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
                    <pic:cNvPicPr>
                      <a:picLocks noChangeAspect="1" noChangeArrowheads="1"/>
                    </pic:cNvPicPr>
                  </pic:nvPicPr>
                  <pic:blipFill>
                    <a:blip r:embed="rId2"/>
                    <a:stretch>
                      <a:fillRect/>
                    </a:stretch>
                  </pic:blipFill>
                  <pic:spPr bwMode="auto">
                    <a:xfrm>
                      <a:off x="0" y="0"/>
                      <a:ext cx="4462145" cy="4210685"/>
                    </a:xfrm>
                    <a:prstGeom prst="rect">
                      <a:avLst/>
                    </a:prstGeom>
                    <a:ln w="19050">
                      <a:solidFill>
                        <a:srgbClr val="000000"/>
                      </a:solidFill>
                    </a:ln>
                  </pic:spPr>
                </pic:pic>
              </a:graphicData>
            </a:graphic>
          </wp:inline>
        </w:drawing>
      </w:r>
    </w:p>
    <w:p>
      <w:pPr>
        <w:pStyle w:val="Normal"/>
        <w:rPr>
          <w:rFonts w:ascii="Arial" w:hAnsi="Arial" w:cs="Arial"/>
        </w:rPr>
      </w:pPr>
      <w:r>
        <w:rPr>
          <w:rFonts w:cs="Arial" w:ascii="Arial" w:hAnsi="Arial"/>
        </w:rPr>
        <w:t>Abb. 1: Heringsmöwe Verbreitung der Meldungen 2011-2016</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Die Heringsmöwe ist auf die Äcker der Hildesheimer und Calenberger Börde angewiesen. Beobachtungen an anderen Stellen sind ungewöhnlich. Sie wird meistens mit anderen Großmöwen wie Silbermöwe, Mittelmeermöwe oder Steppenmöwe beobachtet. Siehe auch die Angaben zu diesen Arten. Die Großmöwen rasten auf den größeren Kiesteichen des Leinetals in Raum Nordstemmen, Sarstedt-Giften, NSG „Ruthe-Koldingen“, aber auch Teiche im Raum Hannover.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Meldungen 2011: 7, 2012: 23, 2013: 43, 2014: 70, 2015: 25, 2016: 26</w:t>
      </w:r>
    </w:p>
    <w:p>
      <w:pPr>
        <w:pStyle w:val="Normal"/>
        <w:rPr>
          <w:rFonts w:ascii="Arial" w:hAnsi="Arial" w:cs="Arial"/>
        </w:rPr>
      </w:pPr>
      <w:r>
        <w:rPr>
          <w:rFonts w:cs="Arial" w:ascii="Arial" w:hAnsi="Arial"/>
        </w:rPr>
        <w:t>Bei 57% der Meldungen wurden keine Aussagen zum Alter der Heringsmöwen gemacht. Bei 37% wurden adulte Exemplare gemeldet. Bei nur 8% der Meldungen wurden Vögel im 1 Kj./diesjährige, 2 Kj./vorjährige, 3 Kj, immature oder subadulte gemeldet. Wandern wirklich mehr Altvögel durch den Kreis Hildesheim?</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Es liegen nur 9 Meldungen aus dem Frühjahr vor. Eine Meldung vom 01.02.2016 sticht hervor. Hill sah 2 Ad. Ex. mit 1 Ex. 2KJ/vorjährig auf einem Acker mit andern Großmöwen bei Kemme Feldmark Nord, Schellerten. Sührig beobachtete 1 Ad. Ex. an den Nordstemmer ZF Stapelteiche Nord am 19.04.2014. Am selben Tag meldete Rotzoll 1 Ad. Ex. vom Sarstedt-Giften Teiche: Schliekumer Teich als Typus der Unterart „intermedius“ gehörig.</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Es folgten 4 weitere Meldungen am 01.05.2014 ; 02.05.2014 ; 13.05.2014 und 16.05. 2014 von den Sarstedt-Giften Teiche: Schliekumer Teich. Die Beobachter waren Rotzoll und Schumann. Es ist durchaus möglich, dass es sich bei den Meldungen von Nordstemmen und Schliekum um das gleiche Individuum gehandelt hat.</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Der Wegzug beginnt um Ende Juli, Pentade 41/42 und erreicht ihren Höhepunkt Mitte Oktober, Pentade 58/59 und geht zu Ende Mitte November, Pentade 64/65.</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drawing>
          <wp:inline distT="0" distB="0" distL="0" distR="0">
            <wp:extent cx="4493895" cy="2696210"/>
            <wp:effectExtent l="0" t="0" r="0" b="0"/>
            <wp:docPr id="2"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
                    <pic:cNvPicPr>
                      <a:picLocks noChangeAspect="1" noChangeArrowheads="1"/>
                    </pic:cNvPicPr>
                  </pic:nvPicPr>
                  <pic:blipFill>
                    <a:blip r:embed="rId3"/>
                    <a:stretch>
                      <a:fillRect/>
                    </a:stretch>
                  </pic:blipFill>
                  <pic:spPr bwMode="auto">
                    <a:xfrm>
                      <a:off x="0" y="0"/>
                      <a:ext cx="4493895" cy="2696210"/>
                    </a:xfrm>
                    <a:prstGeom prst="rect">
                      <a:avLst/>
                    </a:prstGeom>
                  </pic:spPr>
                </pic:pic>
              </a:graphicData>
            </a:graphic>
          </wp:inline>
        </w:drawing>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Höchstzahlen 2011</w:t>
      </w:r>
    </w:p>
    <w:p>
      <w:pPr>
        <w:pStyle w:val="Normal"/>
        <w:rPr>
          <w:rFonts w:ascii="Arial" w:hAnsi="Arial" w:cs="Arial"/>
        </w:rPr>
      </w:pPr>
      <w:r>
        <w:rPr>
          <w:rFonts w:cs="Arial" w:ascii="Arial" w:hAnsi="Arial"/>
        </w:rPr>
        <w:t>29.09.2011   20. Ex. mit 10 Ex. 2. Kj. und 10 Ex. 1Kj/dj., Nordstemmen Kiesteiche Nord: West Teich. Hill. Am selben Tag stellte Hill 15Ex. mit 10 Ad. Ex. und 5 Imm. Ex. bei Nordstemmen Nord auf einem Acker fest.</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28.10.2011  15 Ex. mit 7 Ad. und 8 immature, Nordstemmen Kiesteiche Nord: West. Hill</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Bei der Heringsmöwe ist in Ornitho.de die Meldung von 4 verschiedenen Formen möglich.</w:t>
      </w:r>
    </w:p>
    <w:p>
      <w:pPr>
        <w:pStyle w:val="Normal"/>
        <w:rPr>
          <w:rFonts w:ascii="Arial" w:hAnsi="Arial" w:cs="Arial"/>
        </w:rPr>
      </w:pPr>
      <w:r>
        <w:rPr>
          <w:rFonts w:cs="Arial" w:ascii="Arial" w:hAnsi="Arial"/>
        </w:rPr>
        <w:t xml:space="preserve">Diese sind </w:t>
      </w:r>
    </w:p>
    <w:p>
      <w:pPr>
        <w:pStyle w:val="Normal"/>
        <w:rPr>
          <w:rFonts w:ascii="Arial" w:hAnsi="Arial" w:cs="Arial"/>
        </w:rPr>
      </w:pPr>
      <w:r>
        <w:rPr>
          <w:rFonts w:cs="Arial" w:ascii="Arial" w:hAnsi="Arial"/>
          <w:i/>
        </w:rPr>
        <w:t>Larus fuscus</w:t>
      </w:r>
      <w:r>
        <w:rPr>
          <w:rFonts w:cs="Arial" w:ascii="Arial" w:hAnsi="Arial"/>
        </w:rPr>
        <w:t xml:space="preserve">, als Art unabhängig von der Unterart, </w:t>
      </w:r>
    </w:p>
    <w:p>
      <w:pPr>
        <w:pStyle w:val="Normal"/>
        <w:rPr>
          <w:rFonts w:ascii="Arial" w:hAnsi="Arial" w:cs="Arial"/>
        </w:rPr>
      </w:pPr>
      <w:r>
        <w:rPr>
          <w:rFonts w:cs="Arial" w:ascii="Arial" w:hAnsi="Arial"/>
          <w:i/>
        </w:rPr>
        <w:t>Larus f. fuscus</w:t>
      </w:r>
      <w:r>
        <w:rPr>
          <w:rFonts w:cs="Arial" w:ascii="Arial" w:hAnsi="Arial"/>
        </w:rPr>
        <w:t xml:space="preserve">, die Nominatform vom Baltikum, Finnland </w:t>
      </w:r>
    </w:p>
    <w:p>
      <w:pPr>
        <w:pStyle w:val="Normal"/>
        <w:rPr>
          <w:rFonts w:ascii="Arial" w:hAnsi="Arial" w:cs="Arial"/>
        </w:rPr>
      </w:pPr>
      <w:r>
        <w:rPr>
          <w:rFonts w:cs="Arial" w:ascii="Arial" w:hAnsi="Arial"/>
          <w:i/>
        </w:rPr>
        <w:t>Larus f. graelsii,</w:t>
      </w:r>
      <w:r>
        <w:rPr>
          <w:rFonts w:cs="Arial" w:ascii="Arial" w:hAnsi="Arial"/>
        </w:rPr>
        <w:t xml:space="preserve"> Britische Inseln, Holland, Frankreich</w:t>
      </w:r>
    </w:p>
    <w:p>
      <w:pPr>
        <w:pStyle w:val="Normal"/>
        <w:rPr>
          <w:rFonts w:ascii="Arial" w:hAnsi="Arial" w:cs="Arial"/>
        </w:rPr>
      </w:pPr>
      <w:r>
        <w:rPr>
          <w:rFonts w:cs="Arial" w:ascii="Arial" w:hAnsi="Arial"/>
          <w:i/>
        </w:rPr>
        <w:t>Larus f. intermedius,</w:t>
      </w:r>
      <w:r>
        <w:rPr>
          <w:rFonts w:cs="Arial" w:ascii="Arial" w:hAnsi="Arial"/>
        </w:rPr>
        <w:t xml:space="preserve"> Holland, Deutschand, Dänemark, Norwegen, Schweden</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Die Unterscheidung ist selbst für erfahrene Kenner bei Adulten zum Teil noch recht schwierig. Es gibt auch Hybride, die die Sache noch erschweren. Besonders erschwerend ist, dass das Grau des Mantels sehr stark mit den Lichtbedingungen variiert. Manchmal kann bei dem gleichen Individuum der Mantel so hell wie bei der Silbermöwe und wenige Sekunden </w:t>
      </w:r>
      <w:r>
        <w:rPr>
          <w:rFonts w:cs="Arial" w:ascii="Arial" w:hAnsi="Arial"/>
        </w:rPr>
        <w:t>s</w:t>
      </w:r>
      <w:r>
        <w:rPr>
          <w:rFonts w:cs="Arial" w:ascii="Arial" w:hAnsi="Arial"/>
        </w:rPr>
        <w:t xml:space="preserve">päter sehr dunkel erscheinen. </w:t>
      </w:r>
      <w:r>
        <w:rPr>
          <w:rFonts w:cs="Arial" w:ascii="Arial" w:hAnsi="Arial"/>
          <w:color w:val="FF4000"/>
        </w:rPr>
        <w:t>Textbuch ?</w:t>
      </w:r>
      <w:r>
        <w:rPr>
          <w:rFonts w:cs="Arial" w:ascii="Arial" w:hAnsi="Arial"/>
        </w:rPr>
        <w:t xml:space="preserve"> Farben sind bei </w:t>
      </w:r>
      <w:r>
        <w:rPr>
          <w:rFonts w:cs="Arial" w:ascii="Arial" w:hAnsi="Arial"/>
          <w:i/>
        </w:rPr>
        <w:t>fuscus,</w:t>
      </w:r>
      <w:r>
        <w:rPr>
          <w:rFonts w:cs="Arial" w:ascii="Arial" w:hAnsi="Arial"/>
        </w:rPr>
        <w:t xml:space="preserve"> Kohlenschwarz, </w:t>
      </w:r>
      <w:r>
        <w:rPr>
          <w:rFonts w:cs="Arial" w:ascii="Arial" w:hAnsi="Arial"/>
          <w:i/>
        </w:rPr>
        <w:t>intermedius,</w:t>
      </w:r>
      <w:r>
        <w:rPr>
          <w:rFonts w:cs="Arial" w:ascii="Arial" w:hAnsi="Arial"/>
        </w:rPr>
        <w:t xml:space="preserve"> rußfarbig, </w:t>
      </w:r>
      <w:r>
        <w:rPr>
          <w:rFonts w:cs="Arial" w:ascii="Arial" w:hAnsi="Arial"/>
          <w:i/>
        </w:rPr>
        <w:t>graelsii</w:t>
      </w:r>
      <w:r>
        <w:rPr>
          <w:rFonts w:cs="Arial" w:ascii="Arial" w:hAnsi="Arial"/>
        </w:rPr>
        <w:t xml:space="preserve"> wird als schief</w:t>
      </w:r>
      <w:r>
        <w:rPr>
          <w:rFonts w:cs="Arial" w:ascii="Arial" w:hAnsi="Arial"/>
        </w:rPr>
        <w:t>er</w:t>
      </w:r>
      <w:r>
        <w:rPr>
          <w:rFonts w:cs="Arial" w:ascii="Arial" w:hAnsi="Arial"/>
        </w:rPr>
        <w:t xml:space="preserve">grau beschrieben. Am wahrscheinlichsten ist bei uns </w:t>
      </w:r>
      <w:r>
        <w:rPr>
          <w:rFonts w:cs="Arial" w:ascii="Arial" w:hAnsi="Arial"/>
          <w:i/>
        </w:rPr>
        <w:t xml:space="preserve">intermedius, </w:t>
      </w:r>
      <w:r>
        <w:rPr>
          <w:rFonts w:cs="Arial" w:ascii="Arial" w:hAnsi="Arial"/>
        </w:rPr>
        <w:t xml:space="preserve">aber die anderen sind nicht auszuschließen. Die Bestimmung von </w:t>
      </w:r>
      <w:r>
        <w:rPr>
          <w:rFonts w:cs="Arial" w:ascii="Arial" w:hAnsi="Arial"/>
          <w:color w:val="FF4000"/>
        </w:rPr>
        <w:t>unbegleiteten ?</w:t>
      </w:r>
      <w:r>
        <w:rPr>
          <w:rFonts w:cs="Arial" w:ascii="Arial" w:hAnsi="Arial"/>
        </w:rPr>
        <w:t xml:space="preserve"> Vögeln des 1-3. Jahres, sogenannten Immature oder Subadulte ist recht komplex. Hier wird empfohlen, alle als Heringsmöwe </w:t>
      </w:r>
      <w:r>
        <w:rPr>
          <w:rFonts w:cs="Arial" w:ascii="Arial" w:hAnsi="Arial"/>
          <w:i/>
        </w:rPr>
        <w:t xml:space="preserve">Larus fuscus </w:t>
      </w:r>
      <w:r>
        <w:rPr>
          <w:rFonts w:cs="Arial" w:ascii="Arial" w:hAnsi="Arial"/>
        </w:rPr>
        <w:t>zu melden.</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Höchstzahlen 2012</w:t>
      </w:r>
    </w:p>
    <w:p>
      <w:pPr>
        <w:pStyle w:val="Normal"/>
        <w:rPr>
          <w:rFonts w:ascii="Arial" w:hAnsi="Arial" w:cs="Arial"/>
        </w:rPr>
      </w:pPr>
      <w:r>
        <w:rPr>
          <w:rFonts w:cs="Arial" w:ascii="Arial" w:hAnsi="Arial"/>
        </w:rPr>
        <w:t>15.09.2012  15 Ex. Sarstedt-Giften Teiche: Schliekumer Teich. Rotzoll</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Höchstzahlen 2013</w:t>
      </w:r>
    </w:p>
    <w:p>
      <w:pPr>
        <w:pStyle w:val="Normal"/>
        <w:rPr>
          <w:rFonts w:ascii="Arial" w:hAnsi="Arial" w:cs="Arial"/>
        </w:rPr>
      </w:pPr>
      <w:r>
        <w:rPr>
          <w:rFonts w:cs="Arial" w:ascii="Arial" w:hAnsi="Arial"/>
        </w:rPr>
        <w:t>12.10.2013   14 Ad. Ex. Emmerke Barnten Giesen Feldmark. Hill stellte die Heringsmöwen unter ca. 300 weiteren Großmöwen fest.</w:t>
      </w:r>
    </w:p>
    <w:p>
      <w:pPr>
        <w:pStyle w:val="Normal"/>
        <w:rPr>
          <w:rFonts w:ascii="Arial" w:hAnsi="Arial" w:cs="Arial"/>
          <w:lang w:val="en-US"/>
        </w:rPr>
      </w:pPr>
      <w:r>
        <w:rPr>
          <w:rFonts w:cs="Arial" w:ascii="Arial" w:hAnsi="Arial"/>
        </w:rPr>
        <w:t xml:space="preserve">04.10.2013   12 Ad. Ex. Nordstemmen Kiesteiche Nord: West Teich. </w:t>
      </w:r>
      <w:r>
        <w:rPr>
          <w:rFonts w:cs="Arial" w:ascii="Arial" w:hAnsi="Arial"/>
          <w:lang w:val="en-US"/>
        </w:rPr>
        <w:t>Hill</w:t>
      </w:r>
    </w:p>
    <w:p>
      <w:pPr>
        <w:pStyle w:val="Normal"/>
        <w:rPr>
          <w:rFonts w:ascii="Arial" w:hAnsi="Arial" w:cs="Arial"/>
        </w:rPr>
      </w:pPr>
      <w:r>
        <w:rPr>
          <w:rFonts w:cs="Arial" w:ascii="Arial" w:hAnsi="Arial"/>
          <w:lang w:val="en-US"/>
        </w:rPr>
        <w:t xml:space="preserve">11.10.2013   11 Ad. Ex. Rössing Feldmark Ost. </w:t>
      </w:r>
      <w:r>
        <w:rPr>
          <w:rFonts w:cs="Arial" w:ascii="Arial" w:hAnsi="Arial"/>
        </w:rPr>
        <w:t>Hill</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Höchstzahlen 2014</w:t>
      </w:r>
    </w:p>
    <w:p>
      <w:pPr>
        <w:pStyle w:val="Normal"/>
        <w:rPr>
          <w:rFonts w:ascii="Arial" w:hAnsi="Arial" w:cs="Arial"/>
        </w:rPr>
      </w:pPr>
      <w:r>
        <w:rPr>
          <w:rFonts w:cs="Arial" w:ascii="Arial" w:hAnsi="Arial"/>
        </w:rPr>
        <w:t>13.10.2014   24 Ex. Sarstedt-Giften Teiche: Schliekumer Teich, Risch</w:t>
      </w:r>
    </w:p>
    <w:p>
      <w:pPr>
        <w:pStyle w:val="Normal"/>
        <w:rPr>
          <w:rFonts w:ascii="Arial" w:hAnsi="Arial" w:cs="Arial"/>
        </w:rPr>
      </w:pPr>
      <w:r>
        <w:rPr>
          <w:rFonts w:cs="Arial" w:ascii="Arial" w:hAnsi="Arial"/>
        </w:rPr>
        <w:t>19.10.2014   22 Ex. Nordstemmen Kiesteiche Nord: West Teich. Dense</w:t>
      </w:r>
    </w:p>
    <w:p>
      <w:pPr>
        <w:pStyle w:val="Normal"/>
        <w:rPr>
          <w:rFonts w:ascii="Arial" w:hAnsi="Arial" w:cs="Arial"/>
        </w:rPr>
      </w:pPr>
      <w:r>
        <w:rPr>
          <w:rFonts w:cs="Arial" w:ascii="Arial" w:hAnsi="Arial"/>
        </w:rPr>
        <w:t>08.10.2014   20 Ex. meist Ad. Sarstedt-Giften Teiche: Schliekumer Teich. Rotzoll</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Höchstzahlen 2015</w:t>
      </w:r>
    </w:p>
    <w:p>
      <w:pPr>
        <w:pStyle w:val="Normal"/>
        <w:rPr>
          <w:rFonts w:ascii="Arial" w:hAnsi="Arial" w:cs="Arial"/>
        </w:rPr>
      </w:pPr>
      <w:r>
        <w:rPr>
          <w:rFonts w:cs="Arial" w:ascii="Arial" w:hAnsi="Arial"/>
        </w:rPr>
        <w:t>03.09.2015   20 Ex. mit 15 Ad. Ex. und 5 imm. Sarstedt Wüstung Ippe</w:t>
      </w:r>
      <w:r>
        <w:rPr>
          <w:rFonts w:cs="Arial" w:ascii="Arial" w:hAnsi="Arial"/>
        </w:rPr>
        <w:t>n</w:t>
      </w:r>
      <w:r>
        <w:rPr>
          <w:rFonts w:cs="Arial" w:ascii="Arial" w:hAnsi="Arial"/>
        </w:rPr>
        <w:t>stedt. Braemer</w:t>
      </w:r>
    </w:p>
    <w:p>
      <w:pPr>
        <w:pStyle w:val="Normal"/>
        <w:rPr>
          <w:rFonts w:ascii="Arial" w:hAnsi="Arial" w:cs="Arial"/>
        </w:rPr>
      </w:pPr>
      <w:r>
        <w:rPr>
          <w:rFonts w:cs="Arial" w:ascii="Arial" w:hAnsi="Arial"/>
        </w:rPr>
        <w:t>23.08.2015   10 Ex. Sarstedt Wüstung Ippe</w:t>
      </w:r>
      <w:r>
        <w:rPr>
          <w:rFonts w:cs="Arial" w:ascii="Arial" w:hAnsi="Arial"/>
        </w:rPr>
        <w:t>n</w:t>
      </w:r>
      <w:r>
        <w:rPr>
          <w:rFonts w:cs="Arial" w:ascii="Arial" w:hAnsi="Arial"/>
        </w:rPr>
        <w:t>stedt. Braemer</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Höchstzahlen 2016</w:t>
      </w:r>
    </w:p>
    <w:p>
      <w:pPr>
        <w:pStyle w:val="Normal"/>
        <w:rPr>
          <w:rFonts w:ascii="Arial" w:hAnsi="Arial" w:cs="Arial"/>
        </w:rPr>
      </w:pPr>
      <w:r>
        <w:rPr>
          <w:rFonts w:cs="Arial" w:ascii="Arial" w:hAnsi="Arial"/>
        </w:rPr>
        <w:t>28.08.2016   16 Ex. Sarstedt-Giften Teiche: Schliekumer Teich. Risch</w:t>
      </w:r>
    </w:p>
    <w:p>
      <w:pPr>
        <w:pStyle w:val="Normal"/>
        <w:rPr>
          <w:rFonts w:ascii="Arial" w:hAnsi="Arial" w:cs="Arial"/>
        </w:rPr>
      </w:pPr>
      <w:r>
        <w:rPr>
          <w:rFonts w:cs="Arial" w:ascii="Arial" w:hAnsi="Arial"/>
        </w:rPr>
        <w:t>06.09.2016   10 Ex. Ruthe Hopfenberg West Feldmark. Gruber</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Es gab zwei Meldungen von markierten Vögeln.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Am 15.09.2014 sah Hill 1 Ex. auf einem Acker bei Rössing Feldmark Ost. Die Möwe trug einen blauen Ring auf dem rechten Tarsus mit der Bezeichnung V.XOP und einen Metallring mit „Copenhagen 4L2929“. Die Möwe, ein Weibchen, wurde am 14.07.2013 im 3. Jahr als Sub adult beringt, der Beringungsort war Utterslev Mose I, Kopenhagen. Dies liegt ca. 430km von Rössing entfernt.</w:t>
      </w:r>
    </w:p>
    <w:p>
      <w:pPr>
        <w:pStyle w:val="Normal"/>
        <w:rPr>
          <w:rFonts w:ascii="Arial" w:hAnsi="Arial" w:cs="Arial"/>
        </w:rPr>
      </w:pPr>
      <w:r>
        <w:rPr>
          <w:rFonts w:cs="Arial" w:ascii="Arial" w:hAnsi="Arial"/>
        </w:rPr>
      </w:r>
    </w:p>
    <w:p>
      <w:pPr>
        <w:pStyle w:val="Normal"/>
        <w:rPr>
          <w:rFonts w:ascii="Arial" w:hAnsi="Arial" w:cs="Arial"/>
        </w:rPr>
      </w:pPr>
      <w:r>
        <w:rPr/>
        <w:drawing>
          <wp:inline distT="0" distB="0" distL="0" distR="0">
            <wp:extent cx="5244465" cy="2623820"/>
            <wp:effectExtent l="0" t="0" r="0" b="0"/>
            <wp:docPr id="3" name="Grafik 3" descr="Ein Bild, das Vogel, draußen, stehend,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Vogel, draußen, stehend, Boden enthält.&#10;&#10;Automatisch generierte Beschreibung"/>
                    <pic:cNvPicPr>
                      <a:picLocks noChangeAspect="1" noChangeArrowheads="1"/>
                    </pic:cNvPicPr>
                  </pic:nvPicPr>
                  <pic:blipFill>
                    <a:blip r:embed="rId4"/>
                    <a:stretch>
                      <a:fillRect/>
                    </a:stretch>
                  </pic:blipFill>
                  <pic:spPr bwMode="auto">
                    <a:xfrm>
                      <a:off x="0" y="0"/>
                      <a:ext cx="5244465" cy="2623820"/>
                    </a:xfrm>
                    <a:prstGeom prst="rect">
                      <a:avLst/>
                    </a:prstGeom>
                  </pic:spPr>
                </pic:pic>
              </a:graphicData>
            </a:graphic>
          </wp:inline>
        </w:drawing>
      </w:r>
    </w:p>
    <w:p>
      <w:pPr>
        <w:pStyle w:val="Normal"/>
        <w:rPr>
          <w:rFonts w:ascii="Arial" w:hAnsi="Arial" w:cs="Arial"/>
        </w:rPr>
      </w:pPr>
      <w:r>
        <w:rPr>
          <w:rFonts w:cs="Arial" w:ascii="Arial" w:hAnsi="Arial"/>
        </w:rPr>
        <w:t>Bild 1: Heringsmöwe imm. Mit Steppenmöwen Harsum</w:t>
        <w:tab/>
        <w:t xml:space="preserve">Foto OVH/AHill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In Bild 1 vom 02.09.2016 ist </w:t>
      </w:r>
      <w:r>
        <w:rPr>
          <w:rFonts w:eastAsia="Times New Roman" w:cs="Arial" w:ascii="Arial" w:hAnsi="Arial"/>
          <w:color w:val="auto"/>
          <w:kern w:val="0"/>
          <w:sz w:val="24"/>
          <w:szCs w:val="24"/>
          <w:lang w:val="de-DE" w:eastAsia="de-DE" w:bidi="ar-SA"/>
        </w:rPr>
        <w:t>ein</w:t>
      </w:r>
      <w:r>
        <w:rPr>
          <w:rFonts w:cs="Arial" w:ascii="Arial" w:hAnsi="Arial"/>
        </w:rPr>
        <w:t xml:space="preserve"> 1 imm. Ex. auf einem Acker bei Harsum, Bruchgraben zu sehen.  Die Möwe trug einen schwarzen Ring mit weißer Schrift mit der Bezeichnung J308V. </w:t>
      </w:r>
    </w:p>
    <w:p>
      <w:pPr>
        <w:pStyle w:val="Normal"/>
        <w:rPr>
          <w:rFonts w:ascii="Arial" w:hAnsi="Arial" w:cs="Arial"/>
        </w:rPr>
      </w:pPr>
      <w:r>
        <w:rPr>
          <w:rFonts w:cs="Arial" w:ascii="Arial" w:hAnsi="Arial"/>
        </w:rPr>
        <w:t xml:space="preserve">Die Möwe wurde am 27.10.2015 in Breiavatnet, Stavanger, Rogaland, Norwegen beringt. </w:t>
      </w:r>
      <w:r>
        <w:rPr>
          <w:rFonts w:eastAsia="Times New Roman" w:cs="Arial" w:ascii="Arial" w:hAnsi="Arial"/>
          <w:color w:val="auto"/>
          <w:kern w:val="0"/>
          <w:sz w:val="24"/>
          <w:szCs w:val="24"/>
          <w:lang w:val="de-DE" w:eastAsia="de-DE" w:bidi="ar-SA"/>
        </w:rPr>
        <w:t>Diese Möwe</w:t>
      </w:r>
      <w:r>
        <w:rPr>
          <w:rFonts w:cs="Arial" w:ascii="Arial" w:hAnsi="Arial"/>
        </w:rPr>
        <w:t xml:space="preserve"> </w:t>
      </w:r>
      <w:r>
        <w:rPr>
          <w:rFonts w:eastAsia="Times New Roman" w:cs="Arial" w:ascii="Arial" w:hAnsi="Arial"/>
          <w:color w:val="auto"/>
          <w:kern w:val="0"/>
          <w:sz w:val="24"/>
          <w:szCs w:val="24"/>
          <w:lang w:val="de-DE" w:eastAsia="de-DE" w:bidi="ar-SA"/>
        </w:rPr>
        <w:t>wurde</w:t>
      </w:r>
      <w:r>
        <w:rPr>
          <w:rFonts w:cs="Arial" w:ascii="Arial" w:hAnsi="Arial"/>
        </w:rPr>
        <w:t xml:space="preserve"> zuletzt dort am 08.11.2015 gesehen. Breiavatnet ist ein See bei Stavanger und ist 794 km vom Bruchgraben entfernt.</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Meldungen von Unterarten oder vom „Typus“ Unterarten.</w:t>
      </w:r>
    </w:p>
    <w:p>
      <w:pPr>
        <w:pStyle w:val="Normal"/>
        <w:rPr>
          <w:rFonts w:ascii="Arial" w:hAnsi="Arial" w:cs="Arial"/>
        </w:rPr>
      </w:pPr>
      <w:r>
        <w:rPr>
          <w:rFonts w:cs="Arial" w:ascii="Arial" w:hAnsi="Arial"/>
        </w:rPr>
      </w:r>
    </w:p>
    <w:p>
      <w:pPr>
        <w:pStyle w:val="Normal"/>
        <w:rPr>
          <w:rFonts w:ascii="Arial" w:hAnsi="Arial" w:cs="Arial"/>
          <w:b/>
          <w:b/>
          <w:bCs/>
          <w:i/>
          <w:i/>
        </w:rPr>
      </w:pPr>
      <w:r>
        <w:rPr>
          <w:rFonts w:cs="Arial" w:ascii="Arial" w:hAnsi="Arial"/>
          <w:b/>
          <w:bCs/>
          <w:i/>
        </w:rPr>
        <w:t>Larus fuscus intermedius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21.04., 13.05 und 16.05.2014   je 1 Ex. Ad., Sarstedt-Giften Teiche: Schliekumer Teich. Rotzoll</w:t>
      </w:r>
    </w:p>
    <w:p>
      <w:pPr>
        <w:pStyle w:val="Normal"/>
        <w:rPr>
          <w:rFonts w:ascii="Arial" w:hAnsi="Arial" w:cs="Arial"/>
        </w:rPr>
      </w:pPr>
      <w:r>
        <w:rPr>
          <w:rFonts w:cs="Arial" w:ascii="Arial" w:hAnsi="Arial"/>
        </w:rPr>
        <w:t xml:space="preserve"> </w:t>
      </w:r>
    </w:p>
    <w:p>
      <w:pPr>
        <w:pStyle w:val="Normal"/>
        <w:rPr>
          <w:rFonts w:ascii="Arial" w:hAnsi="Arial" w:cs="Arial"/>
          <w:b/>
          <w:b/>
          <w:bCs/>
        </w:rPr>
      </w:pPr>
      <w:r>
        <w:rPr>
          <w:rFonts w:cs="Arial" w:ascii="Arial" w:hAnsi="Arial"/>
          <w:b/>
          <w:bCs/>
        </w:rPr>
        <w:t>Larus fuscus Heuglini/Hybrid Herings-x Steppenmöwe</w:t>
      </w:r>
    </w:p>
    <w:p>
      <w:pPr>
        <w:pStyle w:val="Normal"/>
        <w:rPr>
          <w:rFonts w:ascii="Arial" w:hAnsi="Arial" w:cs="Arial"/>
          <w:b/>
          <w:b/>
          <w:bCs/>
        </w:rPr>
      </w:pPr>
      <w:r>
        <w:rPr>
          <w:rFonts w:cs="Arial" w:ascii="Arial" w:hAnsi="Arial"/>
          <w:b/>
          <w:bCs/>
        </w:rPr>
      </w:r>
    </w:p>
    <w:p>
      <w:pPr>
        <w:pStyle w:val="Normal"/>
        <w:rPr>
          <w:rFonts w:ascii="Arial" w:hAnsi="Arial" w:cs="Arial"/>
          <w:b/>
          <w:b/>
          <w:bCs/>
        </w:rPr>
      </w:pPr>
      <w:r>
        <w:rPr>
          <w:rFonts w:cs="Arial" w:ascii="Arial" w:hAnsi="Arial"/>
        </w:rPr>
        <w:t xml:space="preserve">09.07.2014   1 Ex. 2Kj/vorjährig Sarstedt-Giften Teiche: Schliekumer Teich. </w:t>
      </w:r>
    </w:p>
    <w:p>
      <w:pPr>
        <w:pStyle w:val="Normal"/>
        <w:rPr>
          <w:rFonts w:ascii="Arial" w:hAnsi="Arial" w:cs="Arial"/>
          <w:i/>
          <w:i/>
        </w:rPr>
      </w:pPr>
      <w:r>
        <w:rPr>
          <w:rFonts w:cs="Arial" w:ascii="Arial" w:hAnsi="Arial"/>
        </w:rPr>
        <w:t>Gruber gab an, dass es sich hier um</w:t>
      </w:r>
      <w:r>
        <w:rPr>
          <w:rFonts w:cs="Arial" w:ascii="Arial" w:hAnsi="Arial"/>
          <w:i/>
        </w:rPr>
        <w:t xml:space="preserve"> heuglini </w:t>
      </w:r>
      <w:r>
        <w:rPr>
          <w:rFonts w:cs="Arial" w:ascii="Arial" w:hAnsi="Arial"/>
        </w:rPr>
        <w:t xml:space="preserve">Typus oder eventuell um einen Hybrid zwischen einer Heringsmöwe und einer Silbermöwe </w:t>
      </w:r>
      <w:r>
        <w:rPr>
          <w:rFonts w:eastAsia="Times New Roman" w:cs="Arial" w:ascii="Arial" w:hAnsi="Arial"/>
          <w:color w:val="auto"/>
          <w:kern w:val="0"/>
          <w:sz w:val="24"/>
          <w:szCs w:val="24"/>
          <w:lang w:val="de-DE" w:eastAsia="de-DE" w:bidi="ar-SA"/>
        </w:rPr>
        <w:t>handeln</w:t>
      </w:r>
      <w:r>
        <w:rPr>
          <w:rFonts w:cs="Arial" w:ascii="Arial" w:hAnsi="Arial"/>
        </w:rPr>
        <w:t xml:space="preserve"> könnte. </w:t>
      </w:r>
    </w:p>
    <w:p>
      <w:pPr>
        <w:pStyle w:val="Normal"/>
        <w:rPr>
          <w:rFonts w:ascii="Arial" w:hAnsi="Arial" w:cs="Arial"/>
          <w:i/>
          <w:i/>
        </w:rPr>
      </w:pPr>
      <w:r>
        <w:rPr>
          <w:rFonts w:cs="Arial" w:ascii="Arial" w:hAnsi="Arial"/>
          <w:i/>
        </w:rPr>
      </w:r>
    </w:p>
    <w:p>
      <w:pPr>
        <w:pStyle w:val="Normal"/>
        <w:rPr>
          <w:rFonts w:ascii="Arial" w:hAnsi="Arial" w:cs="Arial"/>
          <w:i/>
          <w:i/>
        </w:rPr>
      </w:pPr>
      <w:r>
        <w:rPr>
          <w:rFonts w:cs="Arial" w:ascii="Arial" w:hAnsi="Arial"/>
          <w:i/>
        </w:rPr>
      </w:r>
    </w:p>
    <w:p>
      <w:pPr>
        <w:pStyle w:val="Normal"/>
        <w:rPr/>
      </w:pPr>
      <w:r>
        <w:rPr/>
      </w:r>
    </w:p>
    <w:p>
      <w:pPr>
        <w:pStyle w:val="Normal"/>
        <w:rPr>
          <w:rFonts w:ascii="Arial" w:hAnsi="Arial" w:cs="Arial"/>
          <w:i/>
          <w:i/>
        </w:rPr>
      </w:pPr>
      <w:r>
        <w:rPr>
          <w:rFonts w:cs="Calibri" w:ascii="Arial" w:hAnsi="Arial"/>
        </w:rPr>
        <w:t>©</w:t>
      </w:r>
      <w:r>
        <w:rPr>
          <w:rFonts w:cs="Arial" w:ascii="Arial" w:hAnsi="Arial"/>
        </w:rPr>
        <w:t xml:space="preserve"> Ornithologischer Verein zu Hildesheim e.V.</w:t>
      </w:r>
    </w:p>
    <w:sectPr>
      <w:footerReference w:type="default" r:id="rId5"/>
      <w:type w:val="nextPage"/>
      <w:pgSz w:w="11906" w:h="16838"/>
      <w:pgMar w:left="1417" w:right="1417" w:header="0" w:top="1417" w:footer="708"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31506769"/>
    </w:sdtPr>
    <w:sdtContent>
      <w:p>
        <w:pPr>
          <w:pStyle w:val="Fuzeile"/>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sdtContent>
  </w:sdt>
  <w:p>
    <w:pPr>
      <w:pStyle w:val="Fuzeile"/>
      <w:ind w:right="360" w:hanging="0"/>
      <w:rPr/>
    </w:pPr>
    <w:r>
      <w:rPr/>
    </w:r>
  </w:p>
</w:ftr>
</file>

<file path=word/settings.xml><?xml version="1.0" encoding="utf-8"?>
<w:settings xmlns:w="http://schemas.openxmlformats.org/wordprocessingml/2006/main">
  <w:zoom w:val="bestFit" w:percent="181"/>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de-D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2c183a"/>
    <w:pPr>
      <w:widowControl/>
      <w:suppressAutoHyphens w:val="true"/>
      <w:bidi w:val="0"/>
      <w:spacing w:before="0" w:after="0"/>
      <w:jc w:val="left"/>
    </w:pPr>
    <w:rPr>
      <w:rFonts w:ascii="Times New Roman" w:hAnsi="Times New Roman" w:eastAsia="Times New Roman" w:cs="Times New Roman"/>
      <w:color w:val="auto"/>
      <w:kern w:val="0"/>
      <w:sz w:val="24"/>
      <w:szCs w:val="24"/>
      <w:lang w:val="de-DE" w:eastAsia="de-DE" w:bidi="ar-SA"/>
    </w:rPr>
  </w:style>
  <w:style w:type="character" w:styleId="DefaultParagraphFont" w:default="1">
    <w:name w:val="Default Paragraph Font"/>
    <w:uiPriority w:val="1"/>
    <w:semiHidden/>
    <w:unhideWhenUsed/>
    <w:qFormat/>
    <w:rPr/>
  </w:style>
  <w:style w:type="character" w:styleId="FuzeileZchn" w:customStyle="1">
    <w:name w:val="Fußzeile Zchn"/>
    <w:basedOn w:val="DefaultParagraphFont"/>
    <w:link w:val="Fuzeile"/>
    <w:uiPriority w:val="99"/>
    <w:qFormat/>
    <w:rsid w:val="009c7086"/>
    <w:rPr>
      <w:rFonts w:ascii="Times New Roman" w:hAnsi="Times New Roman" w:eastAsia="Times New Roman" w:cs="Times New Roman"/>
      <w:lang w:eastAsia="de-DE"/>
    </w:rPr>
  </w:style>
  <w:style w:type="character" w:styleId="Pagenumber">
    <w:name w:val="page number"/>
    <w:basedOn w:val="DefaultParagraphFont"/>
    <w:uiPriority w:val="99"/>
    <w:semiHidden/>
    <w:unhideWhenUsed/>
    <w:qFormat/>
    <w:rsid w:val="009c7086"/>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KopfundFuzeile">
    <w:name w:val="Kopf- und Fußzeile"/>
    <w:basedOn w:val="Normal"/>
    <w:qFormat/>
    <w:pPr/>
    <w:rPr/>
  </w:style>
  <w:style w:type="paragraph" w:styleId="Fuzeile">
    <w:name w:val="Footer"/>
    <w:basedOn w:val="Normal"/>
    <w:link w:val="FuzeileZchn"/>
    <w:uiPriority w:val="99"/>
    <w:unhideWhenUsed/>
    <w:rsid w:val="009c7086"/>
    <w:pPr>
      <w:tabs>
        <w:tab w:val="clear" w:pos="708"/>
        <w:tab w:val="center" w:pos="4536" w:leader="none"/>
        <w:tab w:val="right" w:pos="9072" w:leader="none"/>
      </w:tabs>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Application>LibreOffice/7.0.4.1$Windows_X86_64 LibreOffice_project/e3cebc55238632eae061a3da668963d484a71147</Application>
  <AppVersion>15.0000</AppVersion>
  <Pages>4</Pages>
  <Words>800</Words>
  <Characters>4642</Characters>
  <CharactersWithSpaces>5435</CharactersWithSpaces>
  <Paragraphs>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2018-04-04T10:47:00Z</dcterms:created>
  <dc:creator>Microsoft Office-Benutzer</dc:creator>
  <dc:description/>
  <dc:language>de-DE</dc:language>
  <cp:lastModifiedBy/>
  <dcterms:modified xsi:type="dcterms:W3CDTF">2021-02-14T17:44:59Z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